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COUNCIL TAX SUMMONS AND LIABILITY ORDER COSTS RECOVERY PACK - VERSION 3.0</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England - law/procedure checked 12 August 2026</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PURPOSE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pack is designed to seek repayment of council-tax summons / liability-order costs with the fewest sensible procedural steps. It is not a generic claim that every amount above the HMCTS application fee is unlawful. Under regulation 34 of the Council Tax (Administration and Enforcement) Regulations 1992 a council may recover costs reasonably incurred at the relevant statutory stage. Properly attributable staff/administrative costs can count and averaging can be lawful. The challenge is to unsupported, mistimed, unrelated, duplicated, inflated or inadequately allocated costs.</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FASTEST ROUTE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Complete Schedule A and identify whether each disputed amount was:</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paid before the liability-order hearing (PRE-HEARING / NO EXTANT COSTS ORDER); or</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included in an extant magistrates' liability order (ORDER ROUTE).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Send the single OPEN Pre-Action Repayment, Evidence and Preservation Notice in section 3. It combines the complaint, Letter of Claim, evidence request, preservation notice and settlement invitation.</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If the Council admits all or part, provide the secure bank-details form separately and require the admitted amount to be paid promptly by BACS. Do not publish bank details in a court bundle.</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If an extant liability order contains the disputed costs, do not issue an ordinary N1 simply to contradict that order. Use section 8 to seek Council review / regulation 36A action and consider the magistrates' limited common-law set-aside jurisdiction, case stated or judicial review as applicable. Timing can be critical.</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Use an N1 money claim only where the pack's jurisdictional gate is satisfied. Route A is the cleanest: the underlying costs basis has already been removed/corrected or the Council has admitted the refund. Route B (pre-hearing payment/no extant costs order) is deliberately marked as jurisdictionally contestable and should not be used where an extant liability order remains.</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If an N1 is issued and the Council does not defend/admit, use the current HMCTS N225 procedure for judgment. If a defended money claim of GBP10,000 or less proceeds on the small-claims track, HMCTS currently requires mediation; use the current N180 sent/provided by the court. These forms can change, so obtain the current versions from GOV.UK at the time they are needed rather than relying on an old copy.</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WHAT THE COUNCIL IS PUT TO PROOF OF</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combined notice asks for one coherent evidential response, including:</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claimant-specific summons / hearing / liability-order history and payments;</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cost model for the relevant year;</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statutory-stage split (pre-hearing versus obtaining the order);</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cost-pool numerator and the summons/order-volume denominator;</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staff role/activity, FTE/time/rate and allocation methodology;</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external expenditure with invoice/payee/date/payment or accrued-liability evidence;</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automation, batch processing, shared/fixed-cost treatment and economies of scale;</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controls against double-counting, post-order enforcement and unrelated overhead;</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aggregate costs charged, collected, waived/refunded and reconciliation to the cost pool.</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IMPORTANT LEGAL POINTS</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There is no current GBP100 statutory cap in England as at 12 August 2026. Government intends a GBP100 cap from April 2027 through secondary legislation. Recheck the law before using the pack after that date.</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current HMCTS council-tax liability-order application fee is an external component; it is not the statutory ceiling on regulation 34 costs.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Nicolson [2015] EWHC 1252 (Admin): actual incurrence, causal connection, reasonableness and adequate information; averaging may be permissible with safeguards.</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Nicolson v Grant Thornton [2016] EWHC 710 (Admin): properly attributable administrative/legal/out-of-pocket costs are not confined to disbursements.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Morley [2025] EWHC 1678 (Admin): averaging cannot be used to demand later hearing/order costs before they are incurred; statutory-stage timing matters.</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Peacekeepers Foundation [2025] EWHC 1493 (Admin): unexplained claimed cost items can be refused; exceptional contested legal work can be allowed if reasonably incurred. Do not rely on the judgment's Welsh-cap parenthetical as an English cap.</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Lone v Hounslow [2019] EWCA Civ 2206 is a serious County Court jurisdiction warning in council-tax restitution litigation. The pack therefore does not treat N1 as a universal route.</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EVIDENCE / CONDUCT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Keep the Council's OPEN response, any refusal to answer the numbered cost questions, any promise to provide material, and proof of delivery. Complete the conduct chronology in section 12. If proceedings become necessary, that concise chronology and the Council's own response become the conduct/evidence exhibit rather than a long chain of repetitive letters.</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CONTENTS OF THIS ZIP</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- 00_READ_ME_FIRST.txt</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Council_Tax_Liability_Order_Costs_Recovery_Pack_v3.docx (editable master)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Council_Tax_Liability_Order_Costs_Recovery_Pack_v3.pdf (print/reference copy)</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Official_Form_N1.pdf (HMCTS claim form)</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Official_N1A_Notes.pdf (HMCTS completion notes)</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FINAL CAUTION</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is a template pack, not advice on an individual claim. Delete alternatives that do not apply. Check limitation, jurisdiction, the status of any liability order, the exact payment date/stage, and current court fees/forms immediately before issue. A claimant should not plead that salaries can never count, that bulk applications cost only one court fee in total, or that every amount above the external HMCTS fee is unlawful: those propositions are not supported by the authorities and give the Council an avoidable defence.</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